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nowk1q40d4r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Presentation, font, spacing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extended essay should be written in a clear, correct and formal academic style, appropriate to the subject from which the topic is drawn. Given that the extended essay is a formally written research paper, it should strive to maintain a professional, academic look.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To help achieve this, the following formatting is </w:t>
      </w:r>
      <w:r w:rsidDel="00000000" w:rsidR="00000000" w:rsidRPr="00000000">
        <w:rPr>
          <w:b w:val="1"/>
          <w:rtl w:val="0"/>
        </w:rPr>
        <w:t xml:space="preserve">required: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use of 12-point, readable font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double spacing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page numbering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no candidate or school name on the title page or page headers.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Submitting the extended essay in the required format will help set the tone of the essay and will aid readability for on-screen assessment by examiners.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